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B40833" w:rsidRPr="00993801" w:rsidTr="00B67BB2">
        <w:tc>
          <w:tcPr>
            <w:tcW w:w="3227" w:type="dxa"/>
          </w:tcPr>
          <w:p w:rsidR="00B40833" w:rsidRPr="00993801" w:rsidRDefault="00B40833" w:rsidP="00B67B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801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196230" cy="1523828"/>
                  <wp:effectExtent l="19050" t="0" r="3920" b="0"/>
                  <wp:docPr id="6" name="Рисунок 1" descr="C:\Users\yurist\Downloads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rist\Downloads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84" cy="152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B40833" w:rsidRPr="00993801" w:rsidRDefault="00B40833" w:rsidP="00B67BB2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8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3801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</w:p>
          <w:p w:rsidR="00B40833" w:rsidRPr="00993801" w:rsidRDefault="00B40833" w:rsidP="00B67BB2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801">
              <w:rPr>
                <w:rFonts w:ascii="Times New Roman" w:hAnsi="Times New Roman" w:cs="Times New Roman"/>
                <w:sz w:val="28"/>
                <w:szCs w:val="28"/>
              </w:rPr>
              <w:t>от «……»____________2016 года №_____</w:t>
            </w:r>
          </w:p>
          <w:p w:rsidR="00B40833" w:rsidRPr="00993801" w:rsidRDefault="00B40833" w:rsidP="00B67BB2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833" w:rsidRPr="00993801" w:rsidRDefault="00B40833" w:rsidP="00B67BB2">
            <w:pPr>
              <w:pStyle w:val="ConsPlusNormal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80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40833" w:rsidRPr="00993801" w:rsidRDefault="00B40833" w:rsidP="00B67BB2">
            <w:pPr>
              <w:pStyle w:val="ConsPlusNormal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833" w:rsidRPr="00993801" w:rsidRDefault="00B40833" w:rsidP="00B67BB2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801">
              <w:rPr>
                <w:rFonts w:ascii="Times New Roman" w:hAnsi="Times New Roman" w:cs="Times New Roman"/>
                <w:sz w:val="28"/>
                <w:szCs w:val="28"/>
              </w:rPr>
              <w:t>Директор МУП</w:t>
            </w:r>
          </w:p>
          <w:p w:rsidR="00B40833" w:rsidRPr="00993801" w:rsidRDefault="00B40833" w:rsidP="00B67BB2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801">
              <w:rPr>
                <w:rFonts w:ascii="Times New Roman" w:hAnsi="Times New Roman" w:cs="Times New Roman"/>
                <w:sz w:val="28"/>
                <w:szCs w:val="28"/>
              </w:rPr>
              <w:t>«Ритуал-спецслужба»___________О.В. Юзефова</w:t>
            </w:r>
          </w:p>
          <w:p w:rsidR="00B40833" w:rsidRPr="00993801" w:rsidRDefault="00B40833" w:rsidP="00B67B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833" w:rsidRPr="00993801" w:rsidRDefault="00B40833" w:rsidP="00B408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0833" w:rsidRPr="00B40833" w:rsidRDefault="00B40833" w:rsidP="00B40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3">
        <w:rPr>
          <w:rFonts w:ascii="Times New Roman" w:hAnsi="Times New Roman" w:cs="Times New Roman"/>
          <w:b/>
          <w:sz w:val="28"/>
          <w:szCs w:val="28"/>
        </w:rPr>
        <w:t>МЕЖДУНАРОДНЫЕ СОГЛАШЕНИЯ</w:t>
      </w:r>
    </w:p>
    <w:p w:rsidR="00B40833" w:rsidRPr="00B40833" w:rsidRDefault="00B40833" w:rsidP="00B40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3">
        <w:rPr>
          <w:rFonts w:ascii="Times New Roman" w:hAnsi="Times New Roman" w:cs="Times New Roman"/>
          <w:b/>
          <w:sz w:val="28"/>
          <w:szCs w:val="28"/>
        </w:rPr>
        <w:t xml:space="preserve">ПО ВОПРОСАМ ПРОТИВОДЕЙСТВИЯ КОРРУПЦИИ В </w:t>
      </w:r>
      <w:proofErr w:type="gramStart"/>
      <w:r w:rsidRPr="00B40833">
        <w:rPr>
          <w:rFonts w:ascii="Times New Roman" w:hAnsi="Times New Roman" w:cs="Times New Roman"/>
          <w:b/>
          <w:sz w:val="28"/>
          <w:szCs w:val="28"/>
        </w:rPr>
        <w:t>КОММЕРЧЕСКИХ</w:t>
      </w:r>
      <w:proofErr w:type="gramEnd"/>
    </w:p>
    <w:p w:rsidR="00B40833" w:rsidRPr="00B40833" w:rsidRDefault="00B40833" w:rsidP="00B40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0833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Pr="00B408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33" w:rsidRPr="00993801" w:rsidRDefault="00B40833" w:rsidP="00B408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3801">
        <w:rPr>
          <w:rFonts w:ascii="Times New Roman" w:hAnsi="Times New Roman" w:cs="Times New Roman"/>
          <w:sz w:val="28"/>
          <w:szCs w:val="28"/>
        </w:rPr>
        <w:t>Вологда 2016</w:t>
      </w:r>
    </w:p>
    <w:p w:rsidR="007C308D" w:rsidRPr="00B422A3" w:rsidRDefault="0077449E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против коррупции Организации Объединенных Наций (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Nations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Convention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corruption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>)</w:t>
      </w:r>
    </w:p>
    <w:p w:rsidR="007C308D" w:rsidRPr="00B422A3" w:rsidRDefault="0077449E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против коррупции Организации Объединенных Наций была принята резолюцией 58/4 Генеральной Ассамбл</w:t>
      </w:r>
      <w:proofErr w:type="gramStart"/>
      <w:r w:rsidR="007C308D" w:rsidRPr="00B422A3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Н от 31 октября 2003 года. Российская Федерация ратифицировала </w:t>
      </w:r>
      <w:hyperlink r:id="rId9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Конвенцию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ООН против коррупции (далее в данном разделе - Конвенция) в 2006 году (8 марта 2006 года был принят Федеральный </w:t>
      </w:r>
      <w:hyperlink r:id="rId10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N 40-ФЗ "О ратификации Конвенции Организации Объединенных Наций против коррупции).</w:t>
      </w:r>
    </w:p>
    <w:p w:rsidR="007C308D" w:rsidRPr="00B422A3" w:rsidRDefault="0077449E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ООН является одним из самых разносторонних и всеобъемлющих международных соглашений, посвященных вопросам противодействия коррупции, в том числе посредством налаживания соответствующих механизмов международного сотрудничества. Ряд положений </w:t>
      </w:r>
      <w:hyperlink r:id="rId12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касаются противодействия коррупции в коммерческих организациях, а также подкупа иностранных должностных лиц. Среди этих положений следует выделить следующие сферы регулирования: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признание определенных действий в качестве уголовно наказуемых преступлений;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принятие мер по противодействию коррупционным преступлениям в частном секторе;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установление ответственности юридических лиц за совершение коррупционных преступлений.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8D" w:rsidRPr="00B4083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0833">
        <w:rPr>
          <w:rFonts w:ascii="Times New Roman" w:hAnsi="Times New Roman" w:cs="Times New Roman"/>
          <w:b/>
          <w:sz w:val="28"/>
          <w:szCs w:val="28"/>
        </w:rPr>
        <w:t>Признание определенных действий в качестве уголовно наказуемых преступлений</w:t>
      </w:r>
    </w:p>
    <w:p w:rsidR="007C308D" w:rsidRPr="00B422A3" w:rsidRDefault="0077449E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Статьи 15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Конвенции требуют признания подкупа национальных публичных должностных лиц и иностранных публичных должностных лиц, должностных лиц публичных международных организаций в качестве уголовно наказуемых преступлений. </w:t>
      </w:r>
      <w:hyperlink r:id="rId15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Статья 21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Конвенции предусматривает криминализацию подкупа в частном секторе, то есть признание в качестве уголовно </w:t>
      </w:r>
      <w:proofErr w:type="gramStart"/>
      <w:r w:rsidR="007C308D" w:rsidRPr="00B422A3">
        <w:rPr>
          <w:rFonts w:ascii="Times New Roman" w:hAnsi="Times New Roman" w:cs="Times New Roman"/>
          <w:sz w:val="28"/>
          <w:szCs w:val="28"/>
        </w:rPr>
        <w:t>наказуемых</w:t>
      </w:r>
      <w:proofErr w:type="gram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следующие деяния, совершаемые умышленно в ходе экономической, финансовой или коммерческой деятельности: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обещание, предложение или предоставление, лично или через посредников, какого-либо неправомерного преимущества любому лицу, которое руководит работой организации частного сектора или работает в любом качестве в такой организации, для самого такого лица или другого </w:t>
      </w:r>
      <w:r w:rsidRPr="00B422A3">
        <w:rPr>
          <w:rFonts w:ascii="Times New Roman" w:hAnsi="Times New Roman" w:cs="Times New Roman"/>
          <w:sz w:val="28"/>
          <w:szCs w:val="28"/>
        </w:rPr>
        <w:lastRenderedPageBreak/>
        <w:t xml:space="preserve">лица, с 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чтобы это лицо совершило, в нарушение своих обязанностей, какое-либо действие или бездействие;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вымогательство или принятие, лично или через посредников, какого-либо неправомерного преимущества любым лицом, которое руководит работой организации частного сектора или работает в любом качестве в такой организации, для самого такого лица или другого лица, с 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чтобы это лицо совершило, в нарушение своих обязанностей, какое-либо действие или бездействие.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Следует иметь в виду, что понятие подкупа в частном секторе, предусмотренное </w:t>
      </w:r>
      <w:hyperlink r:id="rId16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Конвенцией</w:t>
        </w:r>
      </w:hyperlink>
      <w:r w:rsidRPr="00B422A3">
        <w:rPr>
          <w:rFonts w:ascii="Times New Roman" w:hAnsi="Times New Roman" w:cs="Times New Roman"/>
          <w:sz w:val="28"/>
          <w:szCs w:val="28"/>
        </w:rPr>
        <w:t>, значительно отличается от понятия, используемого в российском законодательстве, в частности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в Уголовном </w:t>
      </w:r>
      <w:hyperlink r:id="rId17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кодексе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УК РФ). Например, понятие коммерческого подкупа, установленное </w:t>
      </w:r>
      <w:hyperlink r:id="rId18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статьей 204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УК РФ, относится только к лицам, выполняющим управленческие функции в коммерческой организации, а понятие, используемое в </w:t>
      </w:r>
      <w:hyperlink r:id="rId19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B422A3">
        <w:rPr>
          <w:rFonts w:ascii="Times New Roman" w:hAnsi="Times New Roman" w:cs="Times New Roman"/>
          <w:sz w:val="28"/>
          <w:szCs w:val="28"/>
        </w:rPr>
        <w:t>, - ко всем сотрудникам организации.</w:t>
      </w:r>
    </w:p>
    <w:p w:rsidR="007C308D" w:rsidRPr="00B422A3" w:rsidRDefault="0077449E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Статья 22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Конвенции требует от государств-участников признания в качестве уголовно наказуемого преступления хищение имущества в частном секторе.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8D" w:rsidRPr="00B4083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0833">
        <w:rPr>
          <w:rFonts w:ascii="Times New Roman" w:hAnsi="Times New Roman" w:cs="Times New Roman"/>
          <w:b/>
          <w:sz w:val="28"/>
          <w:szCs w:val="28"/>
        </w:rPr>
        <w:t>Принятие мер по противодействию коррупционным преступлениям в частном секторе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частном секторе экономики государства-участника посвящена </w:t>
      </w:r>
      <w:hyperlink r:id="rId21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статья 12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Конвенции. Общей обязанностью государства-участника является принятие мер по предупреждению коррупции в частном секторе, усилению стандартов бухгалтерского учета и аудита в частном секторе, установлению эффективных, соразмерных и оказывающих сдерживающее воздействие гражданско-правовых, административных или уголовных санкций за несоблюдение таких мер. </w:t>
      </w:r>
      <w:hyperlink r:id="rId22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предусматривает перечень мер, которые могут быть предприняты государством-участником для достижения указанных целей. Данный перечень не является исчерпывающим (закрытым) и включает следующие меры: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содействие сотрудничеству между правоохранительными органами и частными организациями;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содействие разработке стандартов и процедур, предназначенных для обеспечения добросовестности в работе частных организаций (в том числе соответствующих кодексов поведения);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содействие прозрачности в деятельности частных организаций, в том числе принятие мер по идентификации юридических и физических лиц, причастных к созданию корпоративных организаций и управлению ими;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предупреждение злоупотреблений процедурами, регулирующими деятельность частных организаций, в том числе процедурами, касающимися субсидий и лицензий, предоставляемых государственными органами для осуществления коммерческой деятельности;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предупреждение возникновения конфликта интересов посредством установления ограничений на трудоустройство для бывших публичных должностных лиц;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обеспечение наличия в частных организациях достаточных механизмов внутреннего аудиторского контроля, обеспечение проведения аудита и процедур сертификации в отношении счетов и финансовой отчетности частных организаций.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Отдельно в </w:t>
      </w:r>
      <w:hyperlink r:id="rId23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оговаривается необходимость принятия государством-участником мер, касающихся регулирования ведения бухгалтерского учета, предоставления финансовой отчетности, стандартов бухгалтерского учета и аудита. Такие меры должны быть направлены на запрещение действий, осуществляемых в целях совершения коррупционных преступлений (создания неофициальной отчетности, проведения неучтенных или неправильно идентифицированных операций, учета несуществующих расходов и т.д.).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Помимо этого устанавливается обязанность государства-участника отказывать в освобождении от налогообложения расходов, представляющих собой взятки национальным или иностранным публичным должностным лицам, а также иных расходов, связанных с совершением коррупционных правонарушений.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8D" w:rsidRPr="00B4083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0833">
        <w:rPr>
          <w:rFonts w:ascii="Times New Roman" w:hAnsi="Times New Roman" w:cs="Times New Roman"/>
          <w:b/>
          <w:sz w:val="28"/>
          <w:szCs w:val="28"/>
        </w:rPr>
        <w:t>Установление ответственности юридических лиц за совершение коррупционных преступлений</w:t>
      </w:r>
    </w:p>
    <w:p w:rsidR="007C308D" w:rsidRPr="00B422A3" w:rsidRDefault="0077449E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Статья 26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Конвенции предусматривает обязанность государств-участников по принятию мер, направленных на установление ответственности юридических лиц за участие в коррупционных преступлениях. Такая ответственность может быть уголовной, гражданско-правовой или административной. Она не должна наносить ущерба уголовной ответственности физических лиц, совершивших преступление. Уголовные и не уголовные санкции, применяемые в отношении юридических лиц, должны быть эффективными, соразмерными и производить сдерживающий эффект.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8D" w:rsidRPr="00B422A3" w:rsidRDefault="0077449E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7C308D" w:rsidRPr="00B40833">
          <w:rPr>
            <w:rFonts w:ascii="Times New Roman" w:hAnsi="Times New Roman" w:cs="Times New Roman"/>
            <w:b/>
            <w:color w:val="0000FF"/>
            <w:sz w:val="28"/>
            <w:szCs w:val="28"/>
          </w:rPr>
          <w:t>Конвенция</w:t>
        </w:r>
      </w:hyperlink>
      <w:r w:rsidR="007C308D" w:rsidRPr="00B40833">
        <w:rPr>
          <w:rFonts w:ascii="Times New Roman" w:hAnsi="Times New Roman" w:cs="Times New Roman"/>
          <w:b/>
          <w:sz w:val="28"/>
          <w:szCs w:val="28"/>
        </w:rPr>
        <w:t xml:space="preserve"> об уголовной ответственности за коррупци</w:t>
      </w:r>
      <w:r w:rsidR="007C308D" w:rsidRPr="00B422A3">
        <w:rPr>
          <w:rFonts w:ascii="Times New Roman" w:hAnsi="Times New Roman" w:cs="Times New Roman"/>
          <w:sz w:val="28"/>
          <w:szCs w:val="28"/>
        </w:rPr>
        <w:t>ю Совета Европы (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Criminal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convention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corruption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>)</w:t>
      </w:r>
    </w:p>
    <w:p w:rsidR="007C308D" w:rsidRPr="00B422A3" w:rsidRDefault="0077449E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об уголовной ответственности за коррупцию Совета Европы была принята 27 января 1999 года и ратифицирована Российской Федерацией в 2006 году (Федеральным </w:t>
      </w:r>
      <w:hyperlink r:id="rId27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от 25 июня 2006 года N 125-ФЗ "О ратификации Конвенции об уголовной ответственности за коррупцию"). Отдельные положения </w:t>
      </w:r>
      <w:hyperlink r:id="rId28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об уголовной ответственности за коррупцию (далее в данном разделе - Конвенция) касаются противодействия коррупции в частном секторе экономики государств-участников. Среди этих положений следует выделить следующие сферы регулирования: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признание определенных действий в качестве преступлений;</w:t>
      </w:r>
    </w:p>
    <w:p w:rsidR="007C308D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установление ответственности юридических лиц за совершение коррупционных правонарушений.</w:t>
      </w:r>
    </w:p>
    <w:p w:rsidR="00B40833" w:rsidRPr="00B422A3" w:rsidRDefault="00B40833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8D" w:rsidRPr="00B4083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0833">
        <w:rPr>
          <w:rFonts w:ascii="Times New Roman" w:hAnsi="Times New Roman" w:cs="Times New Roman"/>
          <w:b/>
          <w:sz w:val="28"/>
          <w:szCs w:val="28"/>
        </w:rPr>
        <w:t>Признание определенных действий в качестве преступлений</w:t>
      </w:r>
    </w:p>
    <w:p w:rsidR="007C308D" w:rsidRPr="00B422A3" w:rsidRDefault="0077449E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Статьи 7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Конвенции требуют от государств-участников признания в качестве уголовных правонарушений активного и пассивного подкупа в частном секторе. </w:t>
      </w:r>
      <w:hyperlink r:id="rId31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Статья 14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Конвенции предусматривает обязанность государств-участников признать в качестве правонарушений, подлежащих уголовному или иному наказанию, определенные действия в сфере бухгалтерского учета, направленные на совершение, сокрытие или представление в ложном свете коррупционных правонарушений.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Установление ответственности юридических лиц за совершение коррупционных правонарушений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2A3">
        <w:rPr>
          <w:rFonts w:ascii="Times New Roman" w:hAnsi="Times New Roman" w:cs="Times New Roman"/>
          <w:sz w:val="28"/>
          <w:szCs w:val="28"/>
        </w:rPr>
        <w:t>Общей обязанностью государств-участников является принятие мер, необходимых для обеспечения того, чтобы юридические лица могли быть привлечены к ответственности в связи с совершением таких уголовных правонарушений, как активный подкуп, злоупотребление влиянием в корыстных целях и отмывание доходов, совершенных в их интересах каким-либо физическим лицом, действующим в своем личном качестве или в составе органа юридического лица и занимавшим руководящую должность в юридическом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>, в процессе: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выполнения представительских функций от имени юридического лица;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осуществления права на принятие решений от имени юридического лица;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осуществления контрольных функций в рамках юридического лица;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в связи с участием такого физического лица в перечисленных выше правонарушениях в качестве соучастника или подстрекателя.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Помимо этого государства-участники должны принять меры для обеспечения ответственности юридических лиц за попустительство совершению коррупционных правонарушений.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Уголовные и не уголовные санкции, применяемые в отношении юридических лиц, должны быть эффективными, соразмерными и производить сдерживающий эффект. Ответственность юридических лиц не должна исключать возможности уголовного преследования физических лиц, совершивших, подстрекавших к совершению или участвовавших в совершении уголовных правонарушений, перечисленных выше.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8D" w:rsidRPr="00B422A3" w:rsidRDefault="0077449E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(OECD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Convention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combating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bribery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officials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transactions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>)</w:t>
      </w:r>
    </w:p>
    <w:p w:rsidR="007C308D" w:rsidRPr="00B422A3" w:rsidRDefault="0077449E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по борьбе с подкупом иностранных должностных лиц при осуществлении международных коммерческих сделок (далее в данном разделе - Конвенция) была разработана Организацией экономического сотрудничества и развития и подписана рядом стран в 1997 году. Россия ратифицировала </w:t>
      </w:r>
      <w:hyperlink r:id="rId34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Конвенцию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в 2012 году (1 февраля 2012 года был принят Федеральный </w:t>
      </w:r>
      <w:hyperlink r:id="rId35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N 3-ФЗ "О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сделок").</w:t>
      </w:r>
    </w:p>
    <w:p w:rsidR="007C308D" w:rsidRPr="00B422A3" w:rsidRDefault="0077449E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направлена на противодействие подкупу иностранных должностных лиц путем стимулирования стран-участниц к внедрению определенных мер ответственности за совершение такого правонарушения физическими или юридическими лицами.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Под подкупом иностранного должностного лица в </w:t>
      </w:r>
      <w:hyperlink r:id="rId37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понимается: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2A3">
        <w:rPr>
          <w:rFonts w:ascii="Times New Roman" w:hAnsi="Times New Roman" w:cs="Times New Roman"/>
          <w:sz w:val="28"/>
          <w:szCs w:val="28"/>
        </w:rPr>
        <w:t>- умышленное предложение,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лицу, в пользу такого должностного лица или третьего лица с тем,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деятельности;</w:t>
      </w:r>
      <w:proofErr w:type="gramEnd"/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соучастие, включая подстрекательство, содействие и пособничество, или санкционирование действий по подкупу иностранного должностного лица.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Термин "иностранное должностное лицо" в </w:t>
      </w:r>
      <w:hyperlink r:id="rId38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означает любое лицо, занимающее назначаемую или выборную законодательную, административную или судебную должность в зарубежном государстве; любое лицо, осуществляющее публичные функции для зарубежного государства, включая государственное ведомство или предприятие; любое должностное лицо или представитель публичной международной организации. Понятие "зарубежное государство" при этом включает все уровни и подразделения системы управления 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центрального до местного. Действие или бездействие при выполнении должностных обязанностей включает любое использование должностной позиции, вне зависимости от того, совершается ли оно в рамках полномочий должностного лица или нет.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За совершение подкупа иностранного должностного лица </w:t>
      </w:r>
      <w:hyperlink r:id="rId39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предусматривает внедрение различных мер 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как для физических, так и для юридических лиц. В отношении юридических лиц </w:t>
      </w:r>
      <w:hyperlink r:id="rId40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поддерживает введение уголовной ответственности или иных соразмерных санкций не уголовного характера, например, финансовые санкции, в случае, если правовая система страны-участницы не предусматривает введения уголовной ответственности для юридических лиц. Для физических лиц, помимо иных санкций, предусматривается наказание в виде лишения свободы. </w:t>
      </w:r>
      <w:hyperlink r:id="rId41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также предусматривает изъятие (конфискацию) суммы взятки или доходов от подкупа иностранного должностного лица или наложение эквивалентных финансовых санкций.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Юрисдикция государства, применяющего указанные санкции в отношении нарушителей, носит двойственный характер. С одной стороны, под юрисдикцию страны-участницы могут подпадать действия по подкупу иностранных должностных лиц, полностью или частично совершаемые на ее территории. С другой стороны, под юрисдикцию страны-участницы могут подпадать нарушения, совершаемые за пределами ее территории, если нарушителем является ее гражданин. </w:t>
      </w:r>
      <w:hyperlink r:id="rId42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стимулирует государства к установлению юрисдикции обоих видов.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Помимо этого </w:t>
      </w:r>
      <w:hyperlink r:id="rId43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устанавливает для стран-участниц определенные обязательства в сфере бухгалтерского учета. Страны-участницы должны предпринимать меры, направленные на запрещение ведения счетов, не отражаемых в бухгалтерской отчетности, ведения "двойной бухгалтерии" или неадекватно определяемых сделок, записи несуществующих расходов, записи обязательств с неправильной идентификацией их объекта, так же как использование фальшивых документов в целях подкупа иностранных должностных лиц или сокрытия такого подкупа. Указанные нарушения или фальсификация документов должны подлежать гражданско-правовым, административным или уголовным наказаниям.</w:t>
      </w:r>
    </w:p>
    <w:p w:rsidR="007C308D" w:rsidRPr="00B422A3" w:rsidRDefault="0077449E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регулирует ряд иных вопросов, связанных с противодействием подкупу иностранных должностных лиц. В частности, </w:t>
      </w:r>
      <w:hyperlink r:id="rId45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преследования, производства не уголовного характера в отношении преступлений, подпадающих под действие </w:t>
      </w:r>
      <w:hyperlink r:id="rId46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. Также </w:t>
      </w:r>
      <w:hyperlink r:id="rId47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предусматривает отнесение подкупа иностранных должностных лиц к преступлениям, по которым может быть осуществлена экстрадиция.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актов,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лиц. Ключевой особенностью таких нормативных правовых актов является их экстерриториальное действие: юрисдикция государства может распространяться на преступления, которые были совершены за пределами его территории. Наиболее известными в данной области являются соответствующие законы США и Великобритании.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Руководство по лучшим практикам в сфере механизмов внутреннего контроля, этики и соблюдения требований (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guidance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controls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ethics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compliance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>)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В развитие </w:t>
      </w:r>
      <w:hyperlink r:id="rId48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Советом ОЭСР был принят ряд рекомендаций,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(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Recommendation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further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combating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bribery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officials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transactions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>). Одной из составных частей этой рекомендации является Руководство по лучшим практикам в сфере механизмов внутреннего контроля, этики и соблюдения требований (далее - Руководство). Руководство предназначено для применения в первую очередь частными компаниями. При этом согласно требованиям указанной Рекомендации государствам-участникам следует поощрять компании к разработке и принятию программ и мероприятий по внедрению адекватных механизмов внутреннего контроля, этики и соблюдения требований в соответствии с представленным Руководством.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контроля,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сделок. Общим требованием Руководства является разработка таких программ и мер, которые учитывают коррупционные риски, существующие в деятельности организации. Помимо этого Руководство предусматривает 12 лучших практик, которые компаниям следует принять во внимание: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сильная и явная поддержка со стороны руководящего звена компании;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ясно сформулированная и явная корпоративная политика, запрещающая подкуп иностранных должностных лиц;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контроля, этики и соблюдения требований;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надзор за соблюдением таких программ и мер является обязанностью руководящих должностных лиц, обладающих соответствующим уровнем независимости от руководства компании, ресурсами и полномочиями;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программы и меры по этике и соблюдению требований применяются ко всем руководителям, должностным лицам и сотрудникам компании, подконтрольным ей организациям в таких сферах, как подарки, благотворительность, развлечения, расходы и т.п.;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программы и меры по этике и соблюдению требований применяются и включаются в контрактные соглашения с третьими сторонами;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наличие системы финансовых и отчетных процедур, направленных на обеспечение надлежащего ведения бухгалтерских книг, записей и счетов;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обеспечение коммуникации и обучения для работников на всех уровнях компании по вопросам этики и соблюдения требований;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наличие мер, направленных на поощрение и поддержку соблюдения программ и мер по этике и соблюдению требований компании, на всех уровнях;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наличие дисциплинарных процедур в отношении нарушения законов о подкупе иностранных должностных лиц, программ и мер по этике и соблюдению требований компании;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наличие механизмов консультирования, конфиденциального приема сообщений о нарушении законов или профессиональных стандартов, защиты лиц, сделавших такое сообщение, и принятие адекватных мер в ответ на такие сообщения;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периодический пересмотр программ и мер по этике и соблюдению требований.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Согласно Руководству содействие частным компаниям в разработке программ и мер по внедрению механизмов внутреннего контроля, этики и соблюдения требований могут оказывать деловые организации и профессиональные ассоциации. Такая поддержка может осуществляться, например, в форме распространения информации по вопросам противодействия подкупу иностранных должностных лиц, организации обучения и консультирования.</w:t>
      </w:r>
    </w:p>
    <w:p w:rsidR="007C308D" w:rsidRPr="00B40833" w:rsidRDefault="007C308D" w:rsidP="00B408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0833">
        <w:rPr>
          <w:rFonts w:ascii="Times New Roman" w:hAnsi="Times New Roman" w:cs="Times New Roman"/>
          <w:b/>
          <w:sz w:val="28"/>
          <w:szCs w:val="28"/>
        </w:rPr>
        <w:t>Методические материалы международных организаций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положений международных соглашений, которые направлены на противодействие коррупции в частном секторе, ряд международных организаций, включая Управление ООН по наркотикам и преступности (УНП ООН), Организацию экономического сотрудничества и развития, Всемирный банк, Международную торговую палату, уделяют значительное внимание разработке соответствующих методических материалов. Эти методические материалы могут быть весьма полезны при разработке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политики в российских организациях.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В частности, рекомендуется обратить внимание на следующие материалы: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1. Глобальный договор ООН и УНП ООН. Борьба с коррупцией: электронная обучающая программа - http://www.thefightagainstcorruption.org/certificate/.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2. Международная торговая палата (2013). Обучение в сфере этики и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>: руководство, написанное практиками для практиков (на англ. языке) - http://www.iccbooks.com/Product/ProductInfo.aspx?id=698.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3. ОЭСР, УНП ООН, Всемирный банк (2013). Пособие по противодействию коррупции и внедрению процедур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для бизнеса (на англ. языке) - http://www.oecd.org/corruption/Anti-CorruptionEthicsComplianceHandbook.pdf.</w:t>
      </w:r>
    </w:p>
    <w:p w:rsidR="007C308D" w:rsidRPr="00B422A3" w:rsidRDefault="007C308D" w:rsidP="00B40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4. УНП ООН (2013). Программа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этических норм и обеспечения соблюдения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требований для деловых предприятий: практическое руководство</w:t>
      </w:r>
      <w:r w:rsidR="00B40833">
        <w:rPr>
          <w:rFonts w:ascii="Times New Roman" w:hAnsi="Times New Roman" w:cs="Times New Roman"/>
          <w:sz w:val="28"/>
          <w:szCs w:val="28"/>
        </w:rPr>
        <w:t xml:space="preserve"> </w:t>
      </w:r>
      <w:r w:rsidRPr="00B422A3">
        <w:rPr>
          <w:rFonts w:ascii="Times New Roman" w:hAnsi="Times New Roman" w:cs="Times New Roman"/>
          <w:sz w:val="28"/>
          <w:szCs w:val="28"/>
        </w:rPr>
        <w:t>- https://www.unodc.org/documents/corruption/Publications/2013/13-86791_Ebook.pdf.</w:t>
      </w:r>
    </w:p>
    <w:p w:rsidR="0077449E" w:rsidRDefault="0077449E"/>
    <w:sectPr w:rsidR="0077449E" w:rsidSect="0077449E">
      <w:headerReference w:type="default" r:id="rId49"/>
      <w:foot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833" w:rsidRPr="00B40833" w:rsidRDefault="00B40833" w:rsidP="00B408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B40833" w:rsidRPr="00B40833" w:rsidRDefault="00B40833" w:rsidP="00B408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5825"/>
      <w:docPartObj>
        <w:docPartGallery w:val="Page Numbers (Bottom of Page)"/>
        <w:docPartUnique/>
      </w:docPartObj>
    </w:sdtPr>
    <w:sdtContent>
      <w:p w:rsidR="00B40833" w:rsidRDefault="00B40833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40833" w:rsidRDefault="00B408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833" w:rsidRPr="00B40833" w:rsidRDefault="00B40833" w:rsidP="00B408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B40833" w:rsidRPr="00B40833" w:rsidRDefault="00B40833" w:rsidP="00B408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3BAD805732834FCCAD00C8DAB59164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40833" w:rsidRDefault="00B40833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Муниципальное унитарное предприятие «Ритуал-спецслужба»</w:t>
        </w:r>
      </w:p>
    </w:sdtContent>
  </w:sdt>
  <w:p w:rsidR="00B40833" w:rsidRDefault="00B408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308D"/>
    <w:rsid w:val="0077449E"/>
    <w:rsid w:val="007C308D"/>
    <w:rsid w:val="00B4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B408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833"/>
  </w:style>
  <w:style w:type="paragraph" w:styleId="a6">
    <w:name w:val="footer"/>
    <w:basedOn w:val="a"/>
    <w:link w:val="a7"/>
    <w:uiPriority w:val="99"/>
    <w:unhideWhenUsed/>
    <w:rsid w:val="00B4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94A666A440F17A57E24E48B9C216C3B251A33716A870B318391467F18FD380DFA8EAD9A71A13E9XFgFN" TargetMode="External"/><Relationship Id="rId18" Type="http://schemas.openxmlformats.org/officeDocument/2006/relationships/hyperlink" Target="consultantplus://offline/ref=C294A666A440F17A57E25046BDC216C3B153A3371AA970B318391467F18FD380DFA8EADCA2X1gAN" TargetMode="External"/><Relationship Id="rId26" Type="http://schemas.openxmlformats.org/officeDocument/2006/relationships/hyperlink" Target="consultantplus://offline/ref=C294A666A440F17A57E25046BDC216C3B251A33316AC70B318391467F1X8gFN" TargetMode="External"/><Relationship Id="rId39" Type="http://schemas.openxmlformats.org/officeDocument/2006/relationships/hyperlink" Target="consultantplus://offline/ref=C294A666A440F17A57E24B47BAC216C3B456A03419FE27B1496C1AX6g2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94A666A440F17A57E24E48B9C216C3B251A33716A870B318391467F18FD380DFA8EAD9A71A13EDXFgEN" TargetMode="External"/><Relationship Id="rId34" Type="http://schemas.openxmlformats.org/officeDocument/2006/relationships/hyperlink" Target="consultantplus://offline/ref=C294A666A440F17A57E24B47BAC216C3B456A03419FE27B1496C1AX6g2N" TargetMode="External"/><Relationship Id="rId42" Type="http://schemas.openxmlformats.org/officeDocument/2006/relationships/hyperlink" Target="consultantplus://offline/ref=C294A666A440F17A57E24B47BAC216C3B456A03419FE27B1496C1AX6g2N" TargetMode="External"/><Relationship Id="rId47" Type="http://schemas.openxmlformats.org/officeDocument/2006/relationships/hyperlink" Target="consultantplus://offline/ref=C294A666A440F17A57E24B47BAC216C3B456A03419FE27B1496C1AX6g2N" TargetMode="External"/><Relationship Id="rId50" Type="http://schemas.openxmlformats.org/officeDocument/2006/relationships/footer" Target="footer1.xml"/><Relationship Id="rId7" Type="http://schemas.openxmlformats.org/officeDocument/2006/relationships/hyperlink" Target="consultantplus://offline/ref=C294A666A440F17A57E24E48B9C216C3B251A33716A870B318391467F1X8gFN" TargetMode="External"/><Relationship Id="rId12" Type="http://schemas.openxmlformats.org/officeDocument/2006/relationships/hyperlink" Target="consultantplus://offline/ref=C294A666A440F17A57E24E48B9C216C3B251A33716A870B318391467F1X8gFN" TargetMode="External"/><Relationship Id="rId17" Type="http://schemas.openxmlformats.org/officeDocument/2006/relationships/hyperlink" Target="consultantplus://offline/ref=C294A666A440F17A57E25046BDC216C3B153A3371AA970B318391467F1X8gFN" TargetMode="External"/><Relationship Id="rId25" Type="http://schemas.openxmlformats.org/officeDocument/2006/relationships/hyperlink" Target="consultantplus://offline/ref=C294A666A440F17A57E25046BDC216C3B251A33316AC70B318391467F1X8gFN" TargetMode="External"/><Relationship Id="rId33" Type="http://schemas.openxmlformats.org/officeDocument/2006/relationships/hyperlink" Target="consultantplus://offline/ref=C294A666A440F17A57E24B47BAC216C3B456A03419FE27B1496C1AX6g2N" TargetMode="External"/><Relationship Id="rId38" Type="http://schemas.openxmlformats.org/officeDocument/2006/relationships/hyperlink" Target="consultantplus://offline/ref=C294A666A440F17A57E24B47BAC216C3B456A03419FE27B1496C1AX6g2N" TargetMode="External"/><Relationship Id="rId46" Type="http://schemas.openxmlformats.org/officeDocument/2006/relationships/hyperlink" Target="consultantplus://offline/ref=C294A666A440F17A57E24B47BAC216C3B456A03419FE27B1496C1AX6g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94A666A440F17A57E24E48B9C216C3B251A33716A870B318391467F1X8gFN" TargetMode="External"/><Relationship Id="rId20" Type="http://schemas.openxmlformats.org/officeDocument/2006/relationships/hyperlink" Target="consultantplus://offline/ref=C294A666A440F17A57E24E48B9C216C3B251A33716A870B318391467F18FD380DFA8EAD9A71A13EAXFgDN" TargetMode="External"/><Relationship Id="rId29" Type="http://schemas.openxmlformats.org/officeDocument/2006/relationships/hyperlink" Target="consultantplus://offline/ref=C294A666A440F17A57E25046BDC216C3B251A33316AC70B318391467F18FD380DFA8EAD9A71A16E5XFg9N" TargetMode="External"/><Relationship Id="rId41" Type="http://schemas.openxmlformats.org/officeDocument/2006/relationships/hyperlink" Target="consultantplus://offline/ref=C294A666A440F17A57E24B47BAC216C3B456A03419FE27B1496C1AX6g2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294A666A440F17A57E24E48B9C216C3B251A33716A870B318391467F1X8gFN" TargetMode="External"/><Relationship Id="rId24" Type="http://schemas.openxmlformats.org/officeDocument/2006/relationships/hyperlink" Target="consultantplus://offline/ref=C294A666A440F17A57E24E48B9C216C3B251A33716A870B318391467F18FD380DFA8EAD9A71A10EDXFg8N" TargetMode="External"/><Relationship Id="rId32" Type="http://schemas.openxmlformats.org/officeDocument/2006/relationships/hyperlink" Target="consultantplus://offline/ref=C294A666A440F17A57E24B47BAC216C3B456A03419FE27B1496C1AX6g2N" TargetMode="External"/><Relationship Id="rId37" Type="http://schemas.openxmlformats.org/officeDocument/2006/relationships/hyperlink" Target="consultantplus://offline/ref=C294A666A440F17A57E24B47BAC216C3B456A03419FE27B1496C1AX6g2N" TargetMode="External"/><Relationship Id="rId40" Type="http://schemas.openxmlformats.org/officeDocument/2006/relationships/hyperlink" Target="consultantplus://offline/ref=C294A666A440F17A57E24B47BAC216C3B456A03419FE27B1496C1AX6g2N" TargetMode="External"/><Relationship Id="rId45" Type="http://schemas.openxmlformats.org/officeDocument/2006/relationships/hyperlink" Target="consultantplus://offline/ref=C294A666A440F17A57E24B47BAC216C3B456A03419FE27B1496C1AX6g2N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294A666A440F17A57E24E48B9C216C3B251A33716A870B318391467F18FD380DFA8EAD9A71A13EAXFg8N" TargetMode="External"/><Relationship Id="rId23" Type="http://schemas.openxmlformats.org/officeDocument/2006/relationships/hyperlink" Target="consultantplus://offline/ref=C294A666A440F17A57E24E48B9C216C3B251A33716A870B318391467F1X8gFN" TargetMode="External"/><Relationship Id="rId28" Type="http://schemas.openxmlformats.org/officeDocument/2006/relationships/hyperlink" Target="consultantplus://offline/ref=C294A666A440F17A57E25046BDC216C3B251A33316AC70B318391467F1X8gFN" TargetMode="External"/><Relationship Id="rId36" Type="http://schemas.openxmlformats.org/officeDocument/2006/relationships/hyperlink" Target="consultantplus://offline/ref=C294A666A440F17A57E24B47BAC216C3B456A03419FE27B1496C1AX6g2N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C294A666A440F17A57E24E48B9C216C3B65AA23215A32DB910601865XFg6N" TargetMode="External"/><Relationship Id="rId19" Type="http://schemas.openxmlformats.org/officeDocument/2006/relationships/hyperlink" Target="consultantplus://offline/ref=C294A666A440F17A57E24E48B9C216C3B251A33716A870B318391467F1X8gFN" TargetMode="External"/><Relationship Id="rId31" Type="http://schemas.openxmlformats.org/officeDocument/2006/relationships/hyperlink" Target="consultantplus://offline/ref=C294A666A440F17A57E25046BDC216C3B251A33316AC70B318391467F18FD380DFA8EAD9A71A17EDXFgAN" TargetMode="External"/><Relationship Id="rId44" Type="http://schemas.openxmlformats.org/officeDocument/2006/relationships/hyperlink" Target="consultantplus://offline/ref=C294A666A440F17A57E24B47BAC216C3B456A03419FE27B1496C1AX6g2N" TargetMode="External"/><Relationship Id="rId52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294A666A440F17A57E24E48B9C216C3B251A33716A870B318391467F1X8gFN" TargetMode="External"/><Relationship Id="rId14" Type="http://schemas.openxmlformats.org/officeDocument/2006/relationships/hyperlink" Target="consultantplus://offline/ref=C294A666A440F17A57E24E48B9C216C3B251A33716A870B318391467F18FD380DFA8EAD9A71A13E8XFgAN" TargetMode="External"/><Relationship Id="rId22" Type="http://schemas.openxmlformats.org/officeDocument/2006/relationships/hyperlink" Target="consultantplus://offline/ref=C294A666A440F17A57E24E48B9C216C3B251A33716A870B318391467F1X8gFN" TargetMode="External"/><Relationship Id="rId27" Type="http://schemas.openxmlformats.org/officeDocument/2006/relationships/hyperlink" Target="consultantplus://offline/ref=C294A666A440F17A57E24E48B9C216C3B552A53311A32DB910601865XFg6N" TargetMode="External"/><Relationship Id="rId30" Type="http://schemas.openxmlformats.org/officeDocument/2006/relationships/hyperlink" Target="consultantplus://offline/ref=C294A666A440F17A57E25046BDC216C3B251A33316AC70B318391467F18FD380DFA8EAD9A71A16E5XFgCN" TargetMode="External"/><Relationship Id="rId35" Type="http://schemas.openxmlformats.org/officeDocument/2006/relationships/hyperlink" Target="consultantplus://offline/ref=C294A666A440F17A57E24E48B9C216C3B251A73311AB70B318391467F1X8gFN" TargetMode="External"/><Relationship Id="rId43" Type="http://schemas.openxmlformats.org/officeDocument/2006/relationships/hyperlink" Target="consultantplus://offline/ref=C294A666A440F17A57E24B47BAC216C3B456A03419FE27B1496C1AX6g2N" TargetMode="External"/><Relationship Id="rId48" Type="http://schemas.openxmlformats.org/officeDocument/2006/relationships/hyperlink" Target="consultantplus://offline/ref=C294A666A440F17A57E24B47BAC216C3B456A03419FE27B1496C1AX6g2N" TargetMode="External"/><Relationship Id="rId8" Type="http://schemas.openxmlformats.org/officeDocument/2006/relationships/hyperlink" Target="consultantplus://offline/ref=C294A666A440F17A57E24E48B9C216C3B251A33716A870B318391467F1X8gFN" TargetMode="External"/><Relationship Id="rId51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AD805732834FCCAD00C8DAB5916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7D9427-B898-4C75-A72E-175FD4958099}"/>
      </w:docPartPr>
      <w:docPartBody>
        <w:p w:rsidR="00000000" w:rsidRDefault="00C809D7" w:rsidP="00C809D7">
          <w:pPr>
            <w:pStyle w:val="3BAD805732834FCCAD00C8DAB59164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C809D7"/>
    <w:rsid w:val="00C8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AD805732834FCCAD00C8DAB59164D7">
    <w:name w:val="3BAD805732834FCCAD00C8DAB59164D7"/>
    <w:rsid w:val="00C809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3680</Words>
  <Characters>20977</Characters>
  <Application>Microsoft Office Word</Application>
  <DocSecurity>0</DocSecurity>
  <Lines>174</Lines>
  <Paragraphs>49</Paragraphs>
  <ScaleCrop>false</ScaleCrop>
  <Company>Grizli777</Company>
  <LinksUpToDate>false</LinksUpToDate>
  <CharactersWithSpaces>24608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 «Ритуал-спецслужба»</dc:title>
  <dc:subject/>
  <dc:creator>yurist</dc:creator>
  <cp:keywords/>
  <dc:description/>
  <cp:lastModifiedBy>yurist</cp:lastModifiedBy>
  <cp:revision>3</cp:revision>
  <cp:lastPrinted>2016-11-23T13:19:00Z</cp:lastPrinted>
  <dcterms:created xsi:type="dcterms:W3CDTF">2016-11-23T12:06:00Z</dcterms:created>
  <dcterms:modified xsi:type="dcterms:W3CDTF">2016-11-23T13:20:00Z</dcterms:modified>
</cp:coreProperties>
</file>